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8D" w:rsidRPr="0080368E" w:rsidRDefault="00BD6C0F" w:rsidP="0080368E">
      <w:pPr>
        <w:pStyle w:val="DocTitle"/>
        <w:spacing w:line="240" w:lineRule="auto"/>
        <w:rPr>
          <w:sz w:val="48"/>
        </w:rPr>
      </w:pPr>
      <w:bookmarkStart w:id="0" w:name="_Toc385498658"/>
      <w:bookmarkStart w:id="1" w:name="_Toc385498784"/>
      <w:bookmarkStart w:id="2" w:name="_Toc385498800"/>
      <w:bookmarkStart w:id="3" w:name="_Toc385498889"/>
      <w:bookmarkStart w:id="4" w:name="_Toc385499028"/>
      <w:bookmarkStart w:id="5" w:name="_Toc385500355"/>
      <w:r>
        <w:rPr>
          <w:sz w:val="48"/>
        </w:rPr>
        <w:t>Introduction to Quantitative Reasoning</w:t>
      </w:r>
    </w:p>
    <w:p w:rsidR="0068278D" w:rsidRDefault="0068278D" w:rsidP="00D92E32">
      <w:pPr>
        <w:rPr>
          <w:lang w:val="en-US" w:eastAsia="en-GB"/>
        </w:rPr>
      </w:pPr>
    </w:p>
    <w:tbl>
      <w:tblPr>
        <w:tblStyle w:val="TableGrid"/>
        <w:tblW w:w="0" w:type="auto"/>
        <w:tblLook w:val="04A0" w:firstRow="1" w:lastRow="0" w:firstColumn="1" w:lastColumn="0" w:noHBand="0" w:noVBand="1"/>
      </w:tblPr>
      <w:tblGrid>
        <w:gridCol w:w="1838"/>
        <w:gridCol w:w="8356"/>
      </w:tblGrid>
      <w:tr w:rsidR="00BD6C0F" w:rsidTr="00A84DA7">
        <w:trPr>
          <w:trHeight w:val="456"/>
        </w:trPr>
        <w:tc>
          <w:tcPr>
            <w:tcW w:w="1838" w:type="dxa"/>
            <w:shd w:val="clear" w:color="auto" w:fill="D9D9D9" w:themeFill="background1" w:themeFillShade="D9"/>
            <w:vAlign w:val="center"/>
          </w:tcPr>
          <w:bookmarkEnd w:id="0"/>
          <w:bookmarkEnd w:id="1"/>
          <w:bookmarkEnd w:id="2"/>
          <w:bookmarkEnd w:id="3"/>
          <w:bookmarkEnd w:id="4"/>
          <w:bookmarkEnd w:id="5"/>
          <w:p w:rsidR="00BD6C0F" w:rsidRPr="00BD6C0F" w:rsidRDefault="00BD6C0F" w:rsidP="00D64A66">
            <w:pPr>
              <w:spacing w:line="276" w:lineRule="auto"/>
              <w:rPr>
                <w:b/>
              </w:rPr>
            </w:pPr>
            <w:r w:rsidRPr="00BD6C0F">
              <w:rPr>
                <w:b/>
              </w:rPr>
              <w:t>Content</w:t>
            </w:r>
          </w:p>
        </w:tc>
        <w:tc>
          <w:tcPr>
            <w:tcW w:w="8356" w:type="dxa"/>
            <w:shd w:val="clear" w:color="auto" w:fill="D9D9D9" w:themeFill="background1" w:themeFillShade="D9"/>
            <w:vAlign w:val="center"/>
          </w:tcPr>
          <w:p w:rsidR="00BD6C0F" w:rsidRPr="00BD6C0F" w:rsidRDefault="00BD6C0F" w:rsidP="00D64A66">
            <w:pPr>
              <w:spacing w:line="276" w:lineRule="auto"/>
              <w:rPr>
                <w:b/>
              </w:rPr>
            </w:pPr>
            <w:r w:rsidRPr="00BD6C0F">
              <w:rPr>
                <w:b/>
              </w:rPr>
              <w:t>Cross-curricular link</w:t>
            </w:r>
          </w:p>
        </w:tc>
      </w:tr>
      <w:tr w:rsidR="00BD6C0F" w:rsidTr="00A84DA7">
        <w:trPr>
          <w:trHeight w:val="690"/>
        </w:trPr>
        <w:tc>
          <w:tcPr>
            <w:tcW w:w="1838" w:type="dxa"/>
            <w:vAlign w:val="center"/>
          </w:tcPr>
          <w:p w:rsidR="00BD6C0F" w:rsidRPr="00BD6C0F" w:rsidRDefault="00BD6C0F" w:rsidP="00D64A66">
            <w:pPr>
              <w:spacing w:line="276" w:lineRule="auto"/>
              <w:rPr>
                <w:b/>
              </w:rPr>
            </w:pPr>
            <w:r>
              <w:rPr>
                <w:b/>
              </w:rPr>
              <w:t>Risk</w:t>
            </w:r>
          </w:p>
        </w:tc>
        <w:tc>
          <w:tcPr>
            <w:tcW w:w="8356" w:type="dxa"/>
            <w:vAlign w:val="center"/>
          </w:tcPr>
          <w:p w:rsidR="00F13E18" w:rsidRPr="00BD6C0F" w:rsidRDefault="00F13E18" w:rsidP="00D64A66">
            <w:pPr>
              <w:spacing w:line="276" w:lineRule="auto"/>
            </w:pPr>
            <w:r>
              <w:t>Understanding risk is important in business, science and in careers which involve looking after people such as teaching and health.</w:t>
            </w:r>
          </w:p>
        </w:tc>
      </w:tr>
      <w:tr w:rsidR="00BD6C0F" w:rsidTr="00A84DA7">
        <w:trPr>
          <w:trHeight w:val="712"/>
        </w:trPr>
        <w:tc>
          <w:tcPr>
            <w:tcW w:w="1838" w:type="dxa"/>
            <w:vAlign w:val="center"/>
          </w:tcPr>
          <w:p w:rsidR="00BD6C0F" w:rsidRDefault="00BD6C0F" w:rsidP="00D64A66">
            <w:pPr>
              <w:spacing w:line="276" w:lineRule="auto"/>
              <w:rPr>
                <w:b/>
              </w:rPr>
            </w:pPr>
            <w:r>
              <w:rPr>
                <w:b/>
              </w:rPr>
              <w:t>Percentages</w:t>
            </w:r>
          </w:p>
        </w:tc>
        <w:tc>
          <w:tcPr>
            <w:tcW w:w="8356" w:type="dxa"/>
            <w:vAlign w:val="center"/>
          </w:tcPr>
          <w:p w:rsidR="00BD6C0F" w:rsidRPr="00BD6C0F" w:rsidRDefault="00F13E18" w:rsidP="00D64A66">
            <w:pPr>
              <w:spacing w:line="276" w:lineRule="auto"/>
            </w:pPr>
            <w:r>
              <w:t>A good understanding of percentages is important for everyday life, understanding the news and in business, science and social science.</w:t>
            </w:r>
          </w:p>
        </w:tc>
      </w:tr>
      <w:tr w:rsidR="00BD6C0F" w:rsidTr="00A84DA7">
        <w:trPr>
          <w:trHeight w:val="1247"/>
        </w:trPr>
        <w:tc>
          <w:tcPr>
            <w:tcW w:w="1838" w:type="dxa"/>
            <w:vAlign w:val="center"/>
          </w:tcPr>
          <w:p w:rsidR="00BD6C0F" w:rsidRDefault="00BD6C0F" w:rsidP="00D64A66">
            <w:pPr>
              <w:spacing w:line="276" w:lineRule="auto"/>
              <w:rPr>
                <w:b/>
              </w:rPr>
            </w:pPr>
            <w:r>
              <w:rPr>
                <w:b/>
              </w:rPr>
              <w:t>Interpretation of data</w:t>
            </w:r>
          </w:p>
        </w:tc>
        <w:tc>
          <w:tcPr>
            <w:tcW w:w="8356" w:type="dxa"/>
            <w:vAlign w:val="center"/>
          </w:tcPr>
          <w:p w:rsidR="00BD6C0F" w:rsidRPr="00BD6C0F" w:rsidRDefault="00F13E18" w:rsidP="00D64A66">
            <w:pPr>
              <w:spacing w:line="276" w:lineRule="auto"/>
            </w:pPr>
            <w:r>
              <w:t>The collection and interpretation of data is important in science, social science, geography and is also used in many careers, in politics, business and in understanding the news. The ability to spot errors and rogue figures is part of the CBI’s definition of functional numeracy.</w:t>
            </w:r>
          </w:p>
        </w:tc>
      </w:tr>
      <w:tr w:rsidR="00BD6C0F" w:rsidTr="00A84DA7">
        <w:trPr>
          <w:trHeight w:val="996"/>
        </w:trPr>
        <w:tc>
          <w:tcPr>
            <w:tcW w:w="1838" w:type="dxa"/>
            <w:vAlign w:val="center"/>
          </w:tcPr>
          <w:p w:rsidR="00BD6C0F" w:rsidRDefault="00BD6C0F" w:rsidP="00D64A66">
            <w:pPr>
              <w:spacing w:line="276" w:lineRule="auto"/>
              <w:rPr>
                <w:b/>
              </w:rPr>
            </w:pPr>
            <w:r>
              <w:rPr>
                <w:b/>
              </w:rPr>
              <w:t>Estimation</w:t>
            </w:r>
          </w:p>
        </w:tc>
        <w:tc>
          <w:tcPr>
            <w:tcW w:w="8356" w:type="dxa"/>
            <w:vAlign w:val="center"/>
          </w:tcPr>
          <w:p w:rsidR="00BD6C0F" w:rsidRPr="00BD6C0F" w:rsidRDefault="00F13E18" w:rsidP="00D64A66">
            <w:pPr>
              <w:spacing w:line="276" w:lineRule="auto"/>
            </w:pPr>
            <w:r>
              <w:t>Estimation is included in the requirements for biology, chemistry, psychology, geography, geology and environmental science A levels. The ability to spot errors is included in the CBI’s definition of functional numeracy.</w:t>
            </w:r>
          </w:p>
        </w:tc>
      </w:tr>
      <w:tr w:rsidR="00BD6C0F" w:rsidTr="00A84DA7">
        <w:trPr>
          <w:trHeight w:val="982"/>
        </w:trPr>
        <w:tc>
          <w:tcPr>
            <w:tcW w:w="1838" w:type="dxa"/>
            <w:vAlign w:val="center"/>
          </w:tcPr>
          <w:p w:rsidR="00BD6C0F" w:rsidRDefault="00BD6C0F" w:rsidP="00D64A66">
            <w:pPr>
              <w:spacing w:line="276" w:lineRule="auto"/>
              <w:rPr>
                <w:b/>
              </w:rPr>
            </w:pPr>
            <w:r>
              <w:rPr>
                <w:b/>
              </w:rPr>
              <w:t>Foreign exchange</w:t>
            </w:r>
          </w:p>
        </w:tc>
        <w:tc>
          <w:tcPr>
            <w:tcW w:w="8356" w:type="dxa"/>
            <w:vAlign w:val="center"/>
          </w:tcPr>
          <w:p w:rsidR="00BD6C0F" w:rsidRPr="00BD6C0F" w:rsidRDefault="00F13E18" w:rsidP="00D64A66">
            <w:pPr>
              <w:spacing w:line="276" w:lineRule="auto"/>
            </w:pPr>
            <w:r>
              <w:t>Nearly all students will go abroad at some time and need to be able to decide where to change their money and to calculate rough equivalent prices in pounds when shopping abroad.</w:t>
            </w:r>
          </w:p>
        </w:tc>
      </w:tr>
      <w:tr w:rsidR="00BD6C0F" w:rsidTr="00A84DA7">
        <w:trPr>
          <w:trHeight w:val="982"/>
        </w:trPr>
        <w:tc>
          <w:tcPr>
            <w:tcW w:w="1838" w:type="dxa"/>
            <w:vAlign w:val="center"/>
          </w:tcPr>
          <w:p w:rsidR="00BD6C0F" w:rsidRDefault="00BD6C0F" w:rsidP="00D64A66">
            <w:pPr>
              <w:spacing w:line="276" w:lineRule="auto"/>
              <w:rPr>
                <w:b/>
              </w:rPr>
            </w:pPr>
            <w:r>
              <w:rPr>
                <w:b/>
              </w:rPr>
              <w:t>Graphs and gradients</w:t>
            </w:r>
          </w:p>
        </w:tc>
        <w:tc>
          <w:tcPr>
            <w:tcW w:w="8356" w:type="dxa"/>
            <w:vAlign w:val="center"/>
          </w:tcPr>
          <w:p w:rsidR="00BD6C0F" w:rsidRPr="00BD6C0F" w:rsidRDefault="00F13E18" w:rsidP="00D64A66">
            <w:pPr>
              <w:spacing w:line="276" w:lineRule="auto"/>
            </w:pPr>
            <w:r>
              <w:t>Interpreting graphs is important in science, business, economics, geography, psychology and social science; it is also important for future life and work – graphs are used in magazines and reports.</w:t>
            </w:r>
          </w:p>
        </w:tc>
      </w:tr>
      <w:tr w:rsidR="00BD6C0F" w:rsidTr="00A84DA7">
        <w:trPr>
          <w:trHeight w:val="1124"/>
        </w:trPr>
        <w:tc>
          <w:tcPr>
            <w:tcW w:w="1838" w:type="dxa"/>
            <w:vAlign w:val="center"/>
          </w:tcPr>
          <w:p w:rsidR="00BD6C0F" w:rsidRDefault="00BD6C0F" w:rsidP="00D64A66">
            <w:pPr>
              <w:spacing w:line="276" w:lineRule="auto"/>
              <w:rPr>
                <w:b/>
              </w:rPr>
            </w:pPr>
            <w:r>
              <w:rPr>
                <w:b/>
              </w:rPr>
              <w:t>Appreciation and depreciation</w:t>
            </w:r>
          </w:p>
        </w:tc>
        <w:tc>
          <w:tcPr>
            <w:tcW w:w="8356" w:type="dxa"/>
            <w:vAlign w:val="center"/>
          </w:tcPr>
          <w:p w:rsidR="00BD6C0F" w:rsidRPr="00BD6C0F" w:rsidRDefault="00CA3D64" w:rsidP="00D64A66">
            <w:pPr>
              <w:spacing w:line="276" w:lineRule="auto"/>
            </w:pPr>
            <w:r>
              <w:t>Ideas of appreciation and depreciation are important when thinking about investments (including pension funds), the value of cars, houses and other major purchases including those made by businesses.</w:t>
            </w:r>
          </w:p>
        </w:tc>
      </w:tr>
      <w:tr w:rsidR="00BD6C0F" w:rsidTr="00A84DA7">
        <w:trPr>
          <w:trHeight w:val="684"/>
        </w:trPr>
        <w:tc>
          <w:tcPr>
            <w:tcW w:w="1838" w:type="dxa"/>
            <w:vAlign w:val="center"/>
          </w:tcPr>
          <w:p w:rsidR="00BD6C0F" w:rsidRDefault="00BD6C0F" w:rsidP="00D64A66">
            <w:pPr>
              <w:spacing w:line="276" w:lineRule="auto"/>
              <w:rPr>
                <w:b/>
              </w:rPr>
            </w:pPr>
            <w:r>
              <w:rPr>
                <w:b/>
              </w:rPr>
              <w:t>Standard form</w:t>
            </w:r>
          </w:p>
        </w:tc>
        <w:tc>
          <w:tcPr>
            <w:tcW w:w="8356" w:type="dxa"/>
            <w:vAlign w:val="center"/>
          </w:tcPr>
          <w:p w:rsidR="00BD6C0F" w:rsidRPr="00BD6C0F" w:rsidRDefault="00CA3D64" w:rsidP="00D64A66">
            <w:pPr>
              <w:spacing w:line="276" w:lineRule="auto"/>
            </w:pPr>
            <w:r>
              <w:t>Standard form is used in science to write very large or small numbers; it is also called scientific notation.</w:t>
            </w:r>
          </w:p>
        </w:tc>
      </w:tr>
      <w:tr w:rsidR="00BD6C0F" w:rsidTr="00A84DA7">
        <w:trPr>
          <w:trHeight w:val="1830"/>
        </w:trPr>
        <w:tc>
          <w:tcPr>
            <w:tcW w:w="1838" w:type="dxa"/>
            <w:vAlign w:val="center"/>
          </w:tcPr>
          <w:p w:rsidR="00BD6C0F" w:rsidRDefault="00BD6C0F" w:rsidP="00D64A66">
            <w:pPr>
              <w:spacing w:line="276" w:lineRule="auto"/>
              <w:rPr>
                <w:b/>
              </w:rPr>
            </w:pPr>
            <w:r>
              <w:rPr>
                <w:b/>
              </w:rPr>
              <w:t>Measures and scaling</w:t>
            </w:r>
          </w:p>
        </w:tc>
        <w:tc>
          <w:tcPr>
            <w:tcW w:w="8356" w:type="dxa"/>
            <w:vAlign w:val="center"/>
          </w:tcPr>
          <w:p w:rsidR="00BD6C0F" w:rsidRDefault="00DE0AE5" w:rsidP="00D64A66">
            <w:pPr>
              <w:spacing w:line="276" w:lineRule="auto"/>
            </w:pPr>
            <w:r>
              <w:t>Some students will need to interpret scale drawings and photographs as part of future work and study but most students will use online or paper maps when planning a journey or researching a place they intend to visit.</w:t>
            </w:r>
          </w:p>
          <w:p w:rsidR="00DE0AE5" w:rsidRPr="00BD6C0F" w:rsidRDefault="00DE0AE5" w:rsidP="00D64A66">
            <w:pPr>
              <w:spacing w:line="276" w:lineRule="auto"/>
            </w:pPr>
            <w:r>
              <w:t>Relationships between lengths, areas, weights and volumes of similar figures are especially important in biology but also in manufacturing when considering how to scale up a container to a larger size.</w:t>
            </w:r>
          </w:p>
        </w:tc>
      </w:tr>
    </w:tbl>
    <w:p w:rsidR="00A84DA7" w:rsidRDefault="00A84DA7">
      <w:r>
        <w:br w:type="page"/>
      </w:r>
    </w:p>
    <w:tbl>
      <w:tblPr>
        <w:tblStyle w:val="TableGrid"/>
        <w:tblW w:w="0" w:type="auto"/>
        <w:tblLook w:val="04A0" w:firstRow="1" w:lastRow="0" w:firstColumn="1" w:lastColumn="0" w:noHBand="0" w:noVBand="1"/>
      </w:tblPr>
      <w:tblGrid>
        <w:gridCol w:w="1838"/>
        <w:gridCol w:w="8356"/>
      </w:tblGrid>
      <w:tr w:rsidR="00A84DA7" w:rsidRPr="00BD6C0F" w:rsidTr="00A84DA7">
        <w:trPr>
          <w:trHeight w:val="527"/>
        </w:trPr>
        <w:tc>
          <w:tcPr>
            <w:tcW w:w="1838" w:type="dxa"/>
            <w:shd w:val="clear" w:color="auto" w:fill="D9D9D9" w:themeFill="background1" w:themeFillShade="D9"/>
            <w:vAlign w:val="center"/>
          </w:tcPr>
          <w:p w:rsidR="00A84DA7" w:rsidRPr="00BD6C0F" w:rsidRDefault="00A84DA7" w:rsidP="00DB32EB">
            <w:pPr>
              <w:spacing w:line="276" w:lineRule="auto"/>
              <w:rPr>
                <w:b/>
              </w:rPr>
            </w:pPr>
            <w:r w:rsidRPr="00BD6C0F">
              <w:rPr>
                <w:b/>
              </w:rPr>
              <w:lastRenderedPageBreak/>
              <w:t>Content</w:t>
            </w:r>
          </w:p>
        </w:tc>
        <w:tc>
          <w:tcPr>
            <w:tcW w:w="8356" w:type="dxa"/>
            <w:shd w:val="clear" w:color="auto" w:fill="D9D9D9" w:themeFill="background1" w:themeFillShade="D9"/>
            <w:vAlign w:val="center"/>
          </w:tcPr>
          <w:p w:rsidR="00A84DA7" w:rsidRPr="00BD6C0F" w:rsidRDefault="00A84DA7" w:rsidP="00DB32EB">
            <w:pPr>
              <w:spacing w:line="276" w:lineRule="auto"/>
              <w:rPr>
                <w:b/>
              </w:rPr>
            </w:pPr>
            <w:r w:rsidRPr="00BD6C0F">
              <w:rPr>
                <w:b/>
              </w:rPr>
              <w:t>Cross-curricular link</w:t>
            </w:r>
          </w:p>
        </w:tc>
      </w:tr>
      <w:tr w:rsidR="00BD6C0F" w:rsidTr="00A84DA7">
        <w:trPr>
          <w:trHeight w:val="2818"/>
        </w:trPr>
        <w:tc>
          <w:tcPr>
            <w:tcW w:w="1838" w:type="dxa"/>
            <w:vAlign w:val="center"/>
          </w:tcPr>
          <w:p w:rsidR="00BD6C0F" w:rsidRDefault="00BD6C0F" w:rsidP="00D64A66">
            <w:pPr>
              <w:spacing w:line="276" w:lineRule="auto"/>
              <w:rPr>
                <w:b/>
              </w:rPr>
            </w:pPr>
            <w:r>
              <w:rPr>
                <w:b/>
              </w:rPr>
              <w:t>Exponentials and logarithmic scales</w:t>
            </w:r>
          </w:p>
        </w:tc>
        <w:tc>
          <w:tcPr>
            <w:tcW w:w="8356" w:type="dxa"/>
            <w:vAlign w:val="center"/>
          </w:tcPr>
          <w:p w:rsidR="00BD6C0F" w:rsidRDefault="00BD6C0F" w:rsidP="00D64A66">
            <w:pPr>
              <w:spacing w:line="276" w:lineRule="auto"/>
            </w:pPr>
            <w:r>
              <w:t xml:space="preserve">Exponential growth is used as a model for population growth and so has applications in all the social sciences as well as business, economics and science. </w:t>
            </w:r>
          </w:p>
          <w:p w:rsidR="00BD6C0F" w:rsidRDefault="00BD6C0F" w:rsidP="00D64A66">
            <w:pPr>
              <w:spacing w:line="276" w:lineRule="auto"/>
            </w:pPr>
            <w:r>
              <w:t>Exponential decay is important in business when modelling depreciation and also in science for radioactive decay. Radioactive decay is important in carbon dating in archaeology and also in considering issues to do with nuclear power so a basic understanding of it is important for all citizens.</w:t>
            </w:r>
          </w:p>
          <w:p w:rsidR="00BD6C0F" w:rsidRPr="00BD6C0F" w:rsidRDefault="00BD6C0F" w:rsidP="00D64A66">
            <w:pPr>
              <w:spacing w:line="276" w:lineRule="auto"/>
            </w:pPr>
            <w:r>
              <w:t>Examples of logarithmic scales are pH in chemistry, decibels and the Richter scale for earthquakes. Logarithmic scales are sometimes used in graphs showing economic data to make the scale more manageable.</w:t>
            </w:r>
          </w:p>
        </w:tc>
      </w:tr>
      <w:tr w:rsidR="009A66D0" w:rsidTr="00A84DA7">
        <w:trPr>
          <w:trHeight w:val="1962"/>
        </w:trPr>
        <w:tc>
          <w:tcPr>
            <w:tcW w:w="1838" w:type="dxa"/>
            <w:vAlign w:val="center"/>
          </w:tcPr>
          <w:p w:rsidR="009A66D0" w:rsidRDefault="009A66D0" w:rsidP="009A66D0">
            <w:pPr>
              <w:spacing w:line="276" w:lineRule="auto"/>
              <w:rPr>
                <w:b/>
              </w:rPr>
            </w:pPr>
            <w:r>
              <w:rPr>
                <w:b/>
              </w:rPr>
              <w:t>Modelling</w:t>
            </w:r>
          </w:p>
          <w:p w:rsidR="009A66D0" w:rsidRPr="00A97C0C" w:rsidRDefault="009A66D0" w:rsidP="009A66D0"/>
          <w:p w:rsidR="009A66D0" w:rsidRPr="00A97C0C" w:rsidRDefault="009A66D0" w:rsidP="009A66D0"/>
          <w:p w:rsidR="009A66D0" w:rsidRPr="00A97C0C" w:rsidRDefault="009A66D0" w:rsidP="009A66D0"/>
          <w:p w:rsidR="009A66D0" w:rsidRPr="00A97C0C" w:rsidRDefault="009A66D0" w:rsidP="009A66D0"/>
        </w:tc>
        <w:tc>
          <w:tcPr>
            <w:tcW w:w="8356" w:type="dxa"/>
            <w:vAlign w:val="center"/>
          </w:tcPr>
          <w:p w:rsidR="009A66D0" w:rsidRPr="00BD6C0F" w:rsidRDefault="009A66D0" w:rsidP="009A66D0">
            <w:pPr>
              <w:spacing w:line="276" w:lineRule="auto"/>
            </w:pPr>
            <w:r>
              <w:t>Modelling is intrinsic to the use of mathematics in real life situations; especially in science and economics. Due to the easy availability of computers, mathematical models are used to predict how an epidemic might unfold, the possible effects of climate change and the long term effects of national economic strategy. It is helpful for every informed citizen to have a general understanding of mathematical modelling.</w:t>
            </w:r>
          </w:p>
        </w:tc>
      </w:tr>
      <w:tr w:rsidR="009A66D0" w:rsidTr="00A84DA7">
        <w:trPr>
          <w:trHeight w:val="714"/>
        </w:trPr>
        <w:tc>
          <w:tcPr>
            <w:tcW w:w="1838" w:type="dxa"/>
            <w:vAlign w:val="center"/>
          </w:tcPr>
          <w:p w:rsidR="009A66D0" w:rsidRPr="009A66D0" w:rsidRDefault="009A66D0" w:rsidP="009A66D0">
            <w:pPr>
              <w:spacing w:line="276" w:lineRule="auto"/>
              <w:rPr>
                <w:b/>
              </w:rPr>
            </w:pPr>
            <w:r>
              <w:rPr>
                <w:b/>
              </w:rPr>
              <w:t>The Normal distribution</w:t>
            </w:r>
          </w:p>
        </w:tc>
        <w:tc>
          <w:tcPr>
            <w:tcW w:w="8356" w:type="dxa"/>
            <w:vAlign w:val="center"/>
          </w:tcPr>
          <w:p w:rsidR="009A66D0" w:rsidRDefault="009A66D0" w:rsidP="009A66D0">
            <w:pPr>
              <w:spacing w:line="276" w:lineRule="auto"/>
            </w:pPr>
            <w:r>
              <w:t>The Normal distribution is used as a model in biology and psychology; related distributions are used in economics.</w:t>
            </w:r>
          </w:p>
        </w:tc>
      </w:tr>
      <w:tr w:rsidR="009A66D0" w:rsidTr="00A84DA7">
        <w:trPr>
          <w:trHeight w:val="1104"/>
        </w:trPr>
        <w:tc>
          <w:tcPr>
            <w:tcW w:w="1838" w:type="dxa"/>
            <w:vAlign w:val="center"/>
          </w:tcPr>
          <w:p w:rsidR="009A66D0" w:rsidRDefault="009A66D0" w:rsidP="009A66D0">
            <w:pPr>
              <w:spacing w:line="276" w:lineRule="auto"/>
              <w:rPr>
                <w:b/>
              </w:rPr>
            </w:pPr>
            <w:r>
              <w:rPr>
                <w:b/>
              </w:rPr>
              <w:t>Statistical problem solving</w:t>
            </w:r>
          </w:p>
        </w:tc>
        <w:tc>
          <w:tcPr>
            <w:tcW w:w="8356" w:type="dxa"/>
            <w:vAlign w:val="center"/>
          </w:tcPr>
          <w:p w:rsidR="009A66D0" w:rsidRDefault="009A66D0" w:rsidP="009A66D0">
            <w:pPr>
              <w:spacing w:line="276" w:lineRule="auto"/>
            </w:pPr>
            <w:r>
              <w:t>These skills are essential for anyone who is likely to use statistics in science, business or social science and is also a useful insight for all informed citizens to ensure that they have an insight into the power and limitations of statistical enquiry.</w:t>
            </w:r>
          </w:p>
        </w:tc>
      </w:tr>
      <w:tr w:rsidR="009A66D0" w:rsidTr="00A84DA7">
        <w:trPr>
          <w:trHeight w:val="1357"/>
        </w:trPr>
        <w:tc>
          <w:tcPr>
            <w:tcW w:w="1838" w:type="dxa"/>
            <w:vAlign w:val="center"/>
          </w:tcPr>
          <w:p w:rsidR="009A66D0" w:rsidRDefault="009A66D0" w:rsidP="009A66D0">
            <w:pPr>
              <w:spacing w:line="276" w:lineRule="auto"/>
              <w:rPr>
                <w:b/>
              </w:rPr>
            </w:pPr>
            <w:r>
              <w:rPr>
                <w:b/>
              </w:rPr>
              <w:t>Probability</w:t>
            </w:r>
          </w:p>
        </w:tc>
        <w:tc>
          <w:tcPr>
            <w:tcW w:w="8356" w:type="dxa"/>
            <w:vAlign w:val="center"/>
          </w:tcPr>
          <w:p w:rsidR="009A66D0" w:rsidRDefault="009A66D0" w:rsidP="009A66D0">
            <w:pPr>
              <w:spacing w:line="276" w:lineRule="auto"/>
            </w:pPr>
            <w:r>
              <w:t>An understanding of conditional probability is important in both medicine and law so this section is especially relevant to students who intend to work in health, law and social work as well as for sport and for every citizen who may have to interpret medical or legal information one day either as a patient or on a jury.</w:t>
            </w:r>
          </w:p>
        </w:tc>
      </w:tr>
      <w:tr w:rsidR="009A66D0" w:rsidTr="00A84DA7">
        <w:trPr>
          <w:trHeight w:val="1048"/>
        </w:trPr>
        <w:tc>
          <w:tcPr>
            <w:tcW w:w="1838" w:type="dxa"/>
            <w:vAlign w:val="center"/>
          </w:tcPr>
          <w:p w:rsidR="009A66D0" w:rsidRDefault="009A66D0" w:rsidP="009A66D0">
            <w:pPr>
              <w:spacing w:line="276" w:lineRule="auto"/>
              <w:rPr>
                <w:b/>
              </w:rPr>
            </w:pPr>
            <w:r>
              <w:rPr>
                <w:b/>
              </w:rPr>
              <w:t>Financial problem solving</w:t>
            </w:r>
          </w:p>
        </w:tc>
        <w:tc>
          <w:tcPr>
            <w:tcW w:w="8356" w:type="dxa"/>
            <w:vAlign w:val="center"/>
          </w:tcPr>
          <w:p w:rsidR="009A66D0" w:rsidRDefault="009A66D0" w:rsidP="009A66D0">
            <w:pPr>
              <w:spacing w:line="276" w:lineRule="auto"/>
            </w:pPr>
            <w:r>
              <w:t>Financial situations are arising in either business or in personal life.</w:t>
            </w:r>
          </w:p>
        </w:tc>
      </w:tr>
    </w:tbl>
    <w:p w:rsidR="00D64A66" w:rsidRDefault="00D64A66" w:rsidP="00D64A66">
      <w:pPr>
        <w:spacing w:line="276" w:lineRule="auto"/>
        <w:rPr>
          <w:u w:val="single"/>
        </w:rPr>
      </w:pPr>
    </w:p>
    <w:p w:rsidR="00BD6C0F" w:rsidRDefault="00BD6C0F" w:rsidP="00D64A66">
      <w:pPr>
        <w:spacing w:line="276" w:lineRule="auto"/>
        <w:rPr>
          <w:u w:val="single"/>
        </w:rPr>
      </w:pPr>
    </w:p>
    <w:p w:rsidR="00BD6C0F" w:rsidRDefault="00BD6C0F" w:rsidP="00D64A66">
      <w:pPr>
        <w:spacing w:line="276" w:lineRule="auto"/>
        <w:rPr>
          <w:u w:val="single"/>
        </w:rPr>
      </w:pPr>
    </w:p>
    <w:p w:rsidR="00A84DA7" w:rsidRDefault="00A84DA7">
      <w:pPr>
        <w:spacing w:line="240" w:lineRule="auto"/>
        <w:rPr>
          <w:rFonts w:eastAsia="Times New Roman"/>
          <w:b/>
          <w:bCs/>
          <w:color w:val="B11116"/>
          <w:sz w:val="48"/>
          <w:szCs w:val="28"/>
          <w:lang w:val="en-US" w:eastAsia="en-GB"/>
        </w:rPr>
      </w:pPr>
      <w:r>
        <w:rPr>
          <w:sz w:val="48"/>
        </w:rPr>
        <w:br w:type="page"/>
      </w:r>
      <w:bookmarkStart w:id="6" w:name="_GoBack"/>
      <w:bookmarkEnd w:id="6"/>
    </w:p>
    <w:p w:rsidR="00FE224B" w:rsidRPr="0080368E" w:rsidRDefault="00FE224B" w:rsidP="00FE224B">
      <w:pPr>
        <w:pStyle w:val="DocTitle"/>
        <w:spacing w:line="240" w:lineRule="auto"/>
        <w:rPr>
          <w:sz w:val="48"/>
        </w:rPr>
      </w:pPr>
      <w:r>
        <w:rPr>
          <w:sz w:val="48"/>
        </w:rPr>
        <w:lastRenderedPageBreak/>
        <w:t>Critical maths</w:t>
      </w:r>
    </w:p>
    <w:p w:rsidR="00FE224B" w:rsidRDefault="00FE224B" w:rsidP="00FE224B">
      <w:pPr>
        <w:rPr>
          <w:lang w:val="en-US" w:eastAsia="en-GB"/>
        </w:rPr>
      </w:pPr>
    </w:p>
    <w:tbl>
      <w:tblPr>
        <w:tblStyle w:val="TableGrid"/>
        <w:tblW w:w="0" w:type="auto"/>
        <w:tblLook w:val="04A0" w:firstRow="1" w:lastRow="0" w:firstColumn="1" w:lastColumn="0" w:noHBand="0" w:noVBand="1"/>
      </w:tblPr>
      <w:tblGrid>
        <w:gridCol w:w="1838"/>
        <w:gridCol w:w="8356"/>
      </w:tblGrid>
      <w:tr w:rsidR="00FE224B" w:rsidTr="00A84DA7">
        <w:trPr>
          <w:trHeight w:val="456"/>
        </w:trPr>
        <w:tc>
          <w:tcPr>
            <w:tcW w:w="1838" w:type="dxa"/>
            <w:shd w:val="clear" w:color="auto" w:fill="D9D9D9" w:themeFill="background1" w:themeFillShade="D9"/>
            <w:vAlign w:val="center"/>
          </w:tcPr>
          <w:p w:rsidR="00FE224B" w:rsidRPr="00BD6C0F" w:rsidRDefault="00FE224B" w:rsidP="00DB32EB">
            <w:pPr>
              <w:spacing w:line="276" w:lineRule="auto"/>
              <w:rPr>
                <w:b/>
              </w:rPr>
            </w:pPr>
            <w:r w:rsidRPr="00BD6C0F">
              <w:rPr>
                <w:b/>
              </w:rPr>
              <w:t>Content</w:t>
            </w:r>
          </w:p>
        </w:tc>
        <w:tc>
          <w:tcPr>
            <w:tcW w:w="8356" w:type="dxa"/>
            <w:shd w:val="clear" w:color="auto" w:fill="D9D9D9" w:themeFill="background1" w:themeFillShade="D9"/>
            <w:vAlign w:val="center"/>
          </w:tcPr>
          <w:p w:rsidR="00FE224B" w:rsidRPr="00BD6C0F" w:rsidRDefault="00FE224B" w:rsidP="00DB32EB">
            <w:pPr>
              <w:spacing w:line="276" w:lineRule="auto"/>
              <w:rPr>
                <w:b/>
              </w:rPr>
            </w:pPr>
            <w:r w:rsidRPr="00BD6C0F">
              <w:rPr>
                <w:b/>
              </w:rPr>
              <w:t>Cross-curricular link</w:t>
            </w:r>
          </w:p>
        </w:tc>
      </w:tr>
      <w:tr w:rsidR="00FE224B" w:rsidTr="00A84DA7">
        <w:trPr>
          <w:trHeight w:val="1399"/>
        </w:trPr>
        <w:tc>
          <w:tcPr>
            <w:tcW w:w="1838" w:type="dxa"/>
            <w:vAlign w:val="center"/>
          </w:tcPr>
          <w:p w:rsidR="00FE224B" w:rsidRPr="00BD6C0F" w:rsidRDefault="00FE224B" w:rsidP="00DB32EB">
            <w:pPr>
              <w:spacing w:line="276" w:lineRule="auto"/>
              <w:rPr>
                <w:b/>
              </w:rPr>
            </w:pPr>
            <w:r>
              <w:rPr>
                <w:b/>
              </w:rPr>
              <w:t>Fermi estimates</w:t>
            </w:r>
          </w:p>
        </w:tc>
        <w:tc>
          <w:tcPr>
            <w:tcW w:w="8356" w:type="dxa"/>
            <w:vAlign w:val="center"/>
          </w:tcPr>
          <w:p w:rsidR="00FE224B" w:rsidRPr="00BD6C0F" w:rsidRDefault="00EF3EC2" w:rsidP="00DB32EB">
            <w:pPr>
              <w:spacing w:line="276" w:lineRule="auto"/>
            </w:pPr>
            <w:r>
              <w:t>The skills developed in this section are highly valued in industry or further study because they enable students to develop a sense of whether the answer to a calculation is about right and enable them to get a rough answer with little time spent.</w:t>
            </w:r>
          </w:p>
        </w:tc>
      </w:tr>
      <w:tr w:rsidR="00FE224B" w:rsidTr="00A84DA7">
        <w:trPr>
          <w:trHeight w:val="1275"/>
        </w:trPr>
        <w:tc>
          <w:tcPr>
            <w:tcW w:w="1838" w:type="dxa"/>
            <w:vAlign w:val="center"/>
          </w:tcPr>
          <w:p w:rsidR="00FE224B" w:rsidRDefault="00FE224B" w:rsidP="00DB32EB">
            <w:pPr>
              <w:spacing w:line="276" w:lineRule="auto"/>
              <w:rPr>
                <w:b/>
              </w:rPr>
            </w:pPr>
            <w:r>
              <w:rPr>
                <w:b/>
              </w:rPr>
              <w:t>Use and abuse of percentages</w:t>
            </w:r>
          </w:p>
        </w:tc>
        <w:tc>
          <w:tcPr>
            <w:tcW w:w="8356" w:type="dxa"/>
            <w:vAlign w:val="center"/>
          </w:tcPr>
          <w:p w:rsidR="00FE224B" w:rsidRPr="00BD6C0F" w:rsidRDefault="00EF3EC2" w:rsidP="00DB32EB">
            <w:pPr>
              <w:spacing w:line="276" w:lineRule="auto"/>
            </w:pPr>
            <w:r>
              <w:t>Percentages are often used in the news, not always correctly – students should be encouraged to look out for examples of the use of percentages and to explain what the numbers are saying in simple terms – this is a useful skill for life, work and study.</w:t>
            </w:r>
          </w:p>
        </w:tc>
      </w:tr>
      <w:tr w:rsidR="00FE224B" w:rsidTr="00A84DA7">
        <w:trPr>
          <w:trHeight w:val="1407"/>
        </w:trPr>
        <w:tc>
          <w:tcPr>
            <w:tcW w:w="1838" w:type="dxa"/>
            <w:vAlign w:val="center"/>
          </w:tcPr>
          <w:p w:rsidR="00FE224B" w:rsidRDefault="00FE224B" w:rsidP="00DB32EB">
            <w:pPr>
              <w:spacing w:line="276" w:lineRule="auto"/>
              <w:rPr>
                <w:b/>
              </w:rPr>
            </w:pPr>
            <w:r>
              <w:rPr>
                <w:b/>
              </w:rPr>
              <w:t>Medical screening</w:t>
            </w:r>
          </w:p>
        </w:tc>
        <w:tc>
          <w:tcPr>
            <w:tcW w:w="8356" w:type="dxa"/>
            <w:vAlign w:val="center"/>
          </w:tcPr>
          <w:p w:rsidR="00FE224B" w:rsidRPr="00BD6C0F" w:rsidRDefault="00EF3EC2" w:rsidP="00DB32EB">
            <w:pPr>
              <w:spacing w:line="276" w:lineRule="auto"/>
            </w:pPr>
            <w:r>
              <w:t>An understanding of conditional probability is important in both medicine and law so this section is especially relevant to students who intend to work in health, law and social work as well as for sport and for every citizen who may have to interpret medical or legal information one day either as a patient or on a jury.</w:t>
            </w:r>
          </w:p>
        </w:tc>
      </w:tr>
      <w:tr w:rsidR="00FE224B" w:rsidTr="00A84DA7">
        <w:trPr>
          <w:trHeight w:val="691"/>
        </w:trPr>
        <w:tc>
          <w:tcPr>
            <w:tcW w:w="1838" w:type="dxa"/>
            <w:vAlign w:val="center"/>
          </w:tcPr>
          <w:p w:rsidR="00FE224B" w:rsidRDefault="00FE224B" w:rsidP="00DB32EB">
            <w:pPr>
              <w:spacing w:line="276" w:lineRule="auto"/>
              <w:rPr>
                <w:b/>
              </w:rPr>
            </w:pPr>
            <w:r>
              <w:rPr>
                <w:b/>
              </w:rPr>
              <w:t>Valid arguments</w:t>
            </w:r>
          </w:p>
        </w:tc>
        <w:tc>
          <w:tcPr>
            <w:tcW w:w="8356" w:type="dxa"/>
            <w:vAlign w:val="center"/>
          </w:tcPr>
          <w:p w:rsidR="00FE224B" w:rsidRPr="00BD6C0F" w:rsidRDefault="00EF3EC2" w:rsidP="00DB32EB">
            <w:pPr>
              <w:spacing w:line="276" w:lineRule="auto"/>
            </w:pPr>
            <w:r>
              <w:t>The material in this section is relevant for careers in journalism and politics as well as for informed citizenship.</w:t>
            </w:r>
          </w:p>
        </w:tc>
      </w:tr>
      <w:tr w:rsidR="00FE224B" w:rsidTr="00A84DA7">
        <w:trPr>
          <w:trHeight w:val="545"/>
        </w:trPr>
        <w:tc>
          <w:tcPr>
            <w:tcW w:w="1838" w:type="dxa"/>
            <w:vAlign w:val="center"/>
          </w:tcPr>
          <w:p w:rsidR="00FE224B" w:rsidRDefault="00FE224B" w:rsidP="00DB32EB">
            <w:pPr>
              <w:spacing w:line="276" w:lineRule="auto"/>
              <w:rPr>
                <w:b/>
              </w:rPr>
            </w:pPr>
            <w:r>
              <w:rPr>
                <w:b/>
              </w:rPr>
              <w:t>Product prices</w:t>
            </w:r>
          </w:p>
        </w:tc>
        <w:tc>
          <w:tcPr>
            <w:tcW w:w="8356" w:type="dxa"/>
            <w:vAlign w:val="center"/>
          </w:tcPr>
          <w:p w:rsidR="00FE224B" w:rsidRPr="00BD6C0F" w:rsidRDefault="00EF3EC2" w:rsidP="00DB32EB">
            <w:pPr>
              <w:spacing w:line="276" w:lineRule="auto"/>
            </w:pPr>
            <w:r>
              <w:t>This section connects to further study and careers in business.</w:t>
            </w:r>
          </w:p>
        </w:tc>
      </w:tr>
      <w:tr w:rsidR="00FE224B" w:rsidTr="00A84DA7">
        <w:trPr>
          <w:trHeight w:val="1573"/>
        </w:trPr>
        <w:tc>
          <w:tcPr>
            <w:tcW w:w="1838" w:type="dxa"/>
            <w:vAlign w:val="center"/>
          </w:tcPr>
          <w:p w:rsidR="00FE224B" w:rsidRDefault="00FE224B" w:rsidP="00DB32EB">
            <w:pPr>
              <w:spacing w:line="276" w:lineRule="auto"/>
              <w:rPr>
                <w:b/>
              </w:rPr>
            </w:pPr>
            <w:r>
              <w:rPr>
                <w:b/>
              </w:rPr>
              <w:t>Business and risk</w:t>
            </w:r>
          </w:p>
        </w:tc>
        <w:tc>
          <w:tcPr>
            <w:tcW w:w="8356" w:type="dxa"/>
            <w:vAlign w:val="center"/>
          </w:tcPr>
          <w:p w:rsidR="00FE224B" w:rsidRPr="00BD6C0F" w:rsidRDefault="00EF3EC2" w:rsidP="00DB32EB">
            <w:pPr>
              <w:spacing w:line="276" w:lineRule="auto"/>
            </w:pPr>
            <w:r>
              <w:t>This section illustrates how insurance companies, banks, services, agriculture and the manufacturing industry all make key decisions based on what they predict is going to happen in a given market. In some businesses, an understanding of probability, in particular risk and expectation, linked to an ability to gather and evaluate data, is crucial.</w:t>
            </w:r>
          </w:p>
        </w:tc>
      </w:tr>
      <w:tr w:rsidR="00EF3EC2" w:rsidTr="00A84DA7">
        <w:trPr>
          <w:trHeight w:val="1114"/>
        </w:trPr>
        <w:tc>
          <w:tcPr>
            <w:tcW w:w="1838" w:type="dxa"/>
            <w:vAlign w:val="center"/>
          </w:tcPr>
          <w:p w:rsidR="00EF3EC2" w:rsidRDefault="00EF3EC2" w:rsidP="00EF3EC2">
            <w:pPr>
              <w:spacing w:line="276" w:lineRule="auto"/>
              <w:rPr>
                <w:b/>
              </w:rPr>
            </w:pPr>
            <w:r>
              <w:rPr>
                <w:b/>
              </w:rPr>
              <w:t>Population sampling</w:t>
            </w:r>
          </w:p>
        </w:tc>
        <w:tc>
          <w:tcPr>
            <w:tcW w:w="8356" w:type="dxa"/>
            <w:vAlign w:val="center"/>
          </w:tcPr>
          <w:p w:rsidR="00EF3EC2" w:rsidRPr="00BD6C0F" w:rsidRDefault="00EF3EC2" w:rsidP="00EF3EC2">
            <w:pPr>
              <w:spacing w:line="276" w:lineRule="auto"/>
            </w:pPr>
            <w:r>
              <w:t>Ideas of sampling are important in many social sciences and in medicine; it is helpful for students to understand that such decisions are made on the basis of probability.</w:t>
            </w:r>
          </w:p>
        </w:tc>
      </w:tr>
      <w:tr w:rsidR="00EF3EC2" w:rsidTr="00A84DA7">
        <w:trPr>
          <w:trHeight w:val="1130"/>
        </w:trPr>
        <w:tc>
          <w:tcPr>
            <w:tcW w:w="1838" w:type="dxa"/>
            <w:vAlign w:val="center"/>
          </w:tcPr>
          <w:p w:rsidR="00EF3EC2" w:rsidRDefault="00EF3EC2" w:rsidP="00EF3EC2">
            <w:pPr>
              <w:spacing w:line="276" w:lineRule="auto"/>
              <w:rPr>
                <w:b/>
              </w:rPr>
            </w:pPr>
            <w:r>
              <w:rPr>
                <w:b/>
              </w:rPr>
              <w:t>Regression to the mean</w:t>
            </w:r>
          </w:p>
        </w:tc>
        <w:tc>
          <w:tcPr>
            <w:tcW w:w="8356" w:type="dxa"/>
            <w:vAlign w:val="center"/>
          </w:tcPr>
          <w:p w:rsidR="00EF3EC2" w:rsidRPr="00BD6C0F" w:rsidRDefault="00EF3EC2" w:rsidP="00EF3EC2">
            <w:pPr>
              <w:spacing w:line="276" w:lineRule="auto"/>
            </w:pPr>
            <w:r>
              <w:t>An understanding of regression to the mean is helpful when considering the kinds of strategies for improvement and comparison which are used in most areas of work.</w:t>
            </w:r>
          </w:p>
        </w:tc>
      </w:tr>
      <w:tr w:rsidR="00EF3EC2" w:rsidTr="00A84DA7">
        <w:trPr>
          <w:trHeight w:val="706"/>
        </w:trPr>
        <w:tc>
          <w:tcPr>
            <w:tcW w:w="1838" w:type="dxa"/>
            <w:vAlign w:val="center"/>
          </w:tcPr>
          <w:p w:rsidR="00EF3EC2" w:rsidRDefault="00EF3EC2" w:rsidP="00EF3EC2">
            <w:pPr>
              <w:spacing w:line="276" w:lineRule="auto"/>
              <w:rPr>
                <w:b/>
              </w:rPr>
            </w:pPr>
            <w:r>
              <w:rPr>
                <w:b/>
              </w:rPr>
              <w:t>Scams</w:t>
            </w:r>
          </w:p>
        </w:tc>
        <w:tc>
          <w:tcPr>
            <w:tcW w:w="8356" w:type="dxa"/>
            <w:vAlign w:val="center"/>
          </w:tcPr>
          <w:p w:rsidR="00EF3EC2" w:rsidRPr="00BD6C0F" w:rsidRDefault="00EF3EC2" w:rsidP="00EF3EC2">
            <w:pPr>
              <w:spacing w:line="276" w:lineRule="auto"/>
            </w:pPr>
            <w:r>
              <w:t>Being able to evaluate offers and opportunities and avoid being taken in is an important skill for future life.</w:t>
            </w:r>
          </w:p>
        </w:tc>
      </w:tr>
      <w:tr w:rsidR="00EF3EC2" w:rsidTr="00A84DA7">
        <w:trPr>
          <w:trHeight w:val="1383"/>
        </w:trPr>
        <w:tc>
          <w:tcPr>
            <w:tcW w:w="1838" w:type="dxa"/>
            <w:vAlign w:val="center"/>
          </w:tcPr>
          <w:p w:rsidR="00EF3EC2" w:rsidRDefault="00EF3EC2" w:rsidP="00EF3EC2">
            <w:pPr>
              <w:spacing w:line="276" w:lineRule="auto"/>
              <w:rPr>
                <w:b/>
              </w:rPr>
            </w:pPr>
            <w:r>
              <w:rPr>
                <w:b/>
              </w:rPr>
              <w:t>Voting and decision making systems</w:t>
            </w:r>
          </w:p>
        </w:tc>
        <w:tc>
          <w:tcPr>
            <w:tcW w:w="8356" w:type="dxa"/>
            <w:vAlign w:val="center"/>
          </w:tcPr>
          <w:p w:rsidR="00EF3EC2" w:rsidRPr="00BD6C0F" w:rsidRDefault="00EF3EC2" w:rsidP="00EF3EC2">
            <w:pPr>
              <w:spacing w:line="276" w:lineRule="auto"/>
            </w:pPr>
            <w:r>
              <w:t>Decision making systems such as the ones considered in this section are used for competitions and in sport as well as in politics so the thinking that students do in this section is relevant to a variety of careers and interests.</w:t>
            </w:r>
          </w:p>
        </w:tc>
      </w:tr>
    </w:tbl>
    <w:p w:rsidR="00A84DA7" w:rsidRDefault="00A84DA7"/>
    <w:p w:rsidR="00A84DA7" w:rsidRDefault="00A84DA7"/>
    <w:tbl>
      <w:tblPr>
        <w:tblStyle w:val="TableGrid"/>
        <w:tblW w:w="0" w:type="auto"/>
        <w:tblLook w:val="04A0" w:firstRow="1" w:lastRow="0" w:firstColumn="1" w:lastColumn="0" w:noHBand="0" w:noVBand="1"/>
      </w:tblPr>
      <w:tblGrid>
        <w:gridCol w:w="1838"/>
        <w:gridCol w:w="8356"/>
      </w:tblGrid>
      <w:tr w:rsidR="00A84DA7" w:rsidRPr="00BD6C0F" w:rsidTr="00A84DA7">
        <w:trPr>
          <w:trHeight w:val="528"/>
        </w:trPr>
        <w:tc>
          <w:tcPr>
            <w:tcW w:w="1838" w:type="dxa"/>
            <w:shd w:val="clear" w:color="auto" w:fill="D9D9D9" w:themeFill="background1" w:themeFillShade="D9"/>
            <w:vAlign w:val="center"/>
          </w:tcPr>
          <w:p w:rsidR="00A84DA7" w:rsidRPr="00BD6C0F" w:rsidRDefault="00A84DA7" w:rsidP="00DB32EB">
            <w:pPr>
              <w:spacing w:line="276" w:lineRule="auto"/>
              <w:rPr>
                <w:b/>
              </w:rPr>
            </w:pPr>
            <w:r>
              <w:lastRenderedPageBreak/>
              <w:br w:type="page"/>
            </w:r>
            <w:r w:rsidRPr="00BD6C0F">
              <w:rPr>
                <w:b/>
              </w:rPr>
              <w:t>Content</w:t>
            </w:r>
          </w:p>
        </w:tc>
        <w:tc>
          <w:tcPr>
            <w:tcW w:w="8356" w:type="dxa"/>
            <w:shd w:val="clear" w:color="auto" w:fill="D9D9D9" w:themeFill="background1" w:themeFillShade="D9"/>
            <w:vAlign w:val="center"/>
          </w:tcPr>
          <w:p w:rsidR="00A84DA7" w:rsidRPr="00BD6C0F" w:rsidRDefault="00A84DA7" w:rsidP="00DB32EB">
            <w:pPr>
              <w:spacing w:line="276" w:lineRule="auto"/>
              <w:rPr>
                <w:b/>
              </w:rPr>
            </w:pPr>
            <w:r w:rsidRPr="00BD6C0F">
              <w:rPr>
                <w:b/>
              </w:rPr>
              <w:t>Cross-curricular link</w:t>
            </w:r>
          </w:p>
        </w:tc>
      </w:tr>
      <w:tr w:rsidR="00EF3EC2" w:rsidTr="00A84DA7">
        <w:trPr>
          <w:trHeight w:val="1117"/>
        </w:trPr>
        <w:tc>
          <w:tcPr>
            <w:tcW w:w="1838" w:type="dxa"/>
            <w:vAlign w:val="center"/>
          </w:tcPr>
          <w:p w:rsidR="00EF3EC2" w:rsidRPr="00BD6C0F" w:rsidRDefault="00EF3EC2" w:rsidP="00EF3EC2">
            <w:pPr>
              <w:spacing w:line="276" w:lineRule="auto"/>
              <w:rPr>
                <w:b/>
              </w:rPr>
            </w:pPr>
            <w:r>
              <w:rPr>
                <w:b/>
              </w:rPr>
              <w:t>Making decisions with risk</w:t>
            </w:r>
          </w:p>
        </w:tc>
        <w:tc>
          <w:tcPr>
            <w:tcW w:w="8356" w:type="dxa"/>
            <w:vAlign w:val="center"/>
          </w:tcPr>
          <w:p w:rsidR="00EF3EC2" w:rsidRPr="00FE224B" w:rsidRDefault="00EF3EC2" w:rsidP="00EF3EC2">
            <w:pPr>
              <w:spacing w:line="276" w:lineRule="auto"/>
            </w:pPr>
            <w:r w:rsidRPr="00FE224B">
              <w:t xml:space="preserve">This </w:t>
            </w:r>
            <w:r>
              <w:t>section is connected to psychology, business and economics.</w:t>
            </w:r>
          </w:p>
        </w:tc>
      </w:tr>
      <w:tr w:rsidR="00EF3EC2" w:rsidTr="00A84DA7">
        <w:trPr>
          <w:trHeight w:val="1700"/>
        </w:trPr>
        <w:tc>
          <w:tcPr>
            <w:tcW w:w="1838" w:type="dxa"/>
            <w:vAlign w:val="center"/>
          </w:tcPr>
          <w:p w:rsidR="00EF3EC2" w:rsidRDefault="00EF3EC2" w:rsidP="00EF3EC2">
            <w:pPr>
              <w:spacing w:line="276" w:lineRule="auto"/>
              <w:rPr>
                <w:b/>
              </w:rPr>
            </w:pPr>
            <w:r>
              <w:rPr>
                <w:b/>
              </w:rPr>
              <w:t>Randomised Controlled Trial, sampling and bias</w:t>
            </w:r>
          </w:p>
        </w:tc>
        <w:tc>
          <w:tcPr>
            <w:tcW w:w="8356" w:type="dxa"/>
            <w:vAlign w:val="center"/>
          </w:tcPr>
          <w:p w:rsidR="00EF3EC2" w:rsidRPr="00FE224B" w:rsidRDefault="00EF3EC2" w:rsidP="00EF3EC2">
            <w:pPr>
              <w:spacing w:line="276" w:lineRule="auto"/>
            </w:pPr>
            <w:r w:rsidRPr="00FE224B">
              <w:t>Randomised controlled trials are used in medicine to decide whether a proposed new medical treatment is effective.</w:t>
            </w:r>
            <w:r>
              <w:t xml:space="preserve"> They have also been used by charities trying to decide how best to help people and in education. Understanding how randomised controlled trials work is becoming increasingly important for informed decision making as a citizen as well as for careers in medicine and research.</w:t>
            </w:r>
          </w:p>
        </w:tc>
      </w:tr>
      <w:tr w:rsidR="00EF3EC2" w:rsidTr="00A84DA7">
        <w:trPr>
          <w:trHeight w:val="1681"/>
        </w:trPr>
        <w:tc>
          <w:tcPr>
            <w:tcW w:w="1838" w:type="dxa"/>
            <w:vAlign w:val="center"/>
          </w:tcPr>
          <w:p w:rsidR="00EF3EC2" w:rsidRDefault="00EF3EC2" w:rsidP="00EF3EC2">
            <w:pPr>
              <w:spacing w:line="276" w:lineRule="auto"/>
              <w:rPr>
                <w:b/>
              </w:rPr>
            </w:pPr>
            <w:r>
              <w:rPr>
                <w:b/>
              </w:rPr>
              <w:t>Approximately Normal</w:t>
            </w:r>
          </w:p>
        </w:tc>
        <w:tc>
          <w:tcPr>
            <w:tcW w:w="8356" w:type="dxa"/>
            <w:vAlign w:val="center"/>
          </w:tcPr>
          <w:p w:rsidR="00EF3EC2" w:rsidRPr="00FE224B" w:rsidRDefault="00EF3EC2" w:rsidP="00EF3EC2">
            <w:pPr>
              <w:spacing w:line="276" w:lineRule="auto"/>
            </w:pPr>
            <w:r>
              <w:t>Many students going on to further study in science or social science will encounter the Normal distribution so it is helpful for them to understand that it can occur approximately in many contexts. The ‘bell-shaped curve’ is sometimes referred to in the news so a general understanding of places where the Normal distribution can occur is also useful for the informed citizen.</w:t>
            </w:r>
          </w:p>
        </w:tc>
      </w:tr>
    </w:tbl>
    <w:p w:rsidR="00BD6C0F" w:rsidRDefault="00BD6C0F" w:rsidP="00D64A66">
      <w:pPr>
        <w:spacing w:line="276" w:lineRule="auto"/>
        <w:rPr>
          <w:u w:val="single"/>
        </w:rPr>
      </w:pPr>
    </w:p>
    <w:p w:rsidR="00BD6C0F" w:rsidRDefault="00BD6C0F" w:rsidP="00D64A66">
      <w:pPr>
        <w:spacing w:line="276" w:lineRule="auto"/>
        <w:rPr>
          <w:u w:val="single"/>
        </w:rPr>
      </w:pPr>
    </w:p>
    <w:sectPr w:rsidR="00BD6C0F" w:rsidSect="00E6700C">
      <w:headerReference w:type="default" r:id="rId8"/>
      <w:footerReference w:type="default" r:id="rId9"/>
      <w:headerReference w:type="first" r:id="rId10"/>
      <w:footerReference w:type="first" r:id="rId11"/>
      <w:pgSz w:w="11906" w:h="16838"/>
      <w:pgMar w:top="1945" w:right="851" w:bottom="851"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5E8" w:rsidRDefault="002515E8" w:rsidP="00246764">
      <w:pPr>
        <w:spacing w:line="240" w:lineRule="auto"/>
      </w:pPr>
      <w:r>
        <w:separator/>
      </w:r>
    </w:p>
  </w:endnote>
  <w:endnote w:type="continuationSeparator" w:id="0">
    <w:p w:rsidR="002515E8" w:rsidRDefault="002515E8"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EE" w:rsidRPr="00C613EE" w:rsidRDefault="00C613EE" w:rsidP="00C613EE">
    <w:pPr>
      <w:tabs>
        <w:tab w:val="center" w:pos="4513"/>
      </w:tabs>
      <w:spacing w:after="120" w:line="240" w:lineRule="auto"/>
    </w:pPr>
    <w:r w:rsidRPr="00C613EE">
      <w:rPr>
        <w:sz w:val="16"/>
        <w:szCs w:val="16"/>
      </w:rPr>
      <w:t xml:space="preserve"> </w:t>
    </w:r>
    <w:sdt>
      <w:sdtPr>
        <w:rPr>
          <w:sz w:val="16"/>
          <w:szCs w:val="16"/>
        </w:rPr>
        <w:id w:val="-371007045"/>
        <w:docPartObj>
          <w:docPartGallery w:val="Page Numbers (Bottom of Page)"/>
          <w:docPartUnique/>
        </w:docPartObj>
      </w:sdtPr>
      <w:sdtEndPr>
        <w:rPr>
          <w:noProof/>
          <w:sz w:val="22"/>
          <w:szCs w:val="22"/>
        </w:rPr>
      </w:sdtEndPr>
      <w:sdtContent>
        <w:r w:rsidRPr="00C613EE">
          <w:rPr>
            <w:sz w:val="16"/>
            <w:szCs w:val="16"/>
          </w:rPr>
          <w:t xml:space="preserve">Version 1 </w:t>
        </w:r>
        <w:r w:rsidRPr="00C613EE">
          <w:rPr>
            <w:sz w:val="16"/>
            <w:szCs w:val="16"/>
          </w:rPr>
          <w:tab/>
        </w:r>
        <w:r w:rsidRPr="00C613EE">
          <w:rPr>
            <w:sz w:val="16"/>
            <w:szCs w:val="16"/>
          </w:rPr>
          <w:fldChar w:fldCharType="begin"/>
        </w:r>
        <w:r w:rsidRPr="00C613EE">
          <w:rPr>
            <w:sz w:val="16"/>
            <w:szCs w:val="16"/>
          </w:rPr>
          <w:instrText xml:space="preserve"> PAGE   \* MERGEFORMAT </w:instrText>
        </w:r>
        <w:r w:rsidRPr="00C613EE">
          <w:rPr>
            <w:sz w:val="16"/>
            <w:szCs w:val="16"/>
          </w:rPr>
          <w:fldChar w:fldCharType="separate"/>
        </w:r>
        <w:r w:rsidR="00F369E6">
          <w:rPr>
            <w:noProof/>
            <w:sz w:val="16"/>
            <w:szCs w:val="16"/>
          </w:rPr>
          <w:t>4</w:t>
        </w:r>
        <w:r w:rsidRPr="00C613EE">
          <w:rPr>
            <w:noProof/>
            <w:sz w:val="16"/>
            <w:szCs w:val="16"/>
          </w:rPr>
          <w:fldChar w:fldCharType="end"/>
        </w:r>
        <w:r w:rsidRPr="00C613EE">
          <w:rPr>
            <w:noProof/>
            <w:sz w:val="16"/>
            <w:szCs w:val="16"/>
          </w:rPr>
          <w:tab/>
          <w:t xml:space="preserve">              </w:t>
        </w:r>
        <w:r w:rsidRPr="00C613EE">
          <w:rPr>
            <w:noProof/>
            <w:sz w:val="16"/>
            <w:szCs w:val="16"/>
          </w:rPr>
          <w:tab/>
        </w:r>
        <w:r w:rsidRPr="00C613EE">
          <w:rPr>
            <w:noProof/>
            <w:sz w:val="16"/>
            <w:szCs w:val="16"/>
          </w:rPr>
          <w:tab/>
        </w:r>
        <w:r w:rsidRPr="00C613EE">
          <w:rPr>
            <w:noProof/>
            <w:sz w:val="16"/>
            <w:szCs w:val="16"/>
          </w:rPr>
          <w:tab/>
        </w:r>
        <w:r w:rsidRPr="00C613EE">
          <w:rPr>
            <w:noProof/>
            <w:sz w:val="16"/>
            <w:szCs w:val="16"/>
          </w:rPr>
          <w:tab/>
        </w:r>
        <w:r w:rsidRPr="00C613EE">
          <w:rPr>
            <w:noProof/>
            <w:sz w:val="16"/>
            <w:szCs w:val="16"/>
          </w:rPr>
          <w:tab/>
          <w:t xml:space="preserve">              © OCR 2019</w:t>
        </w:r>
      </w:sdtContent>
    </w:sdt>
  </w:p>
  <w:p w:rsidR="00487DF9" w:rsidRPr="00C613EE" w:rsidRDefault="00487DF9" w:rsidP="00C613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C0C" w:rsidRDefault="00A97C0C" w:rsidP="00A97C0C">
    <w:pPr>
      <w:pStyle w:val="Footer"/>
      <w:tabs>
        <w:tab w:val="clear" w:pos="4513"/>
        <w:tab w:val="clear" w:pos="9026"/>
        <w:tab w:val="left" w:pos="4568"/>
      </w:tabs>
      <w:rPr>
        <w:noProof/>
        <w:lang w:eastAsia="en-GB"/>
      </w:rPr>
    </w:pPr>
    <w:r w:rsidRPr="00DF6DEE">
      <w:rPr>
        <w:noProof/>
        <w:lang w:eastAsia="en-GB"/>
      </w:rPr>
      <w:drawing>
        <wp:inline distT="0" distB="0" distL="0" distR="0" wp14:anchorId="7C070E4A" wp14:editId="35BC2538">
          <wp:extent cx="2374900" cy="62801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28015"/>
                  </a:xfrm>
                  <a:prstGeom prst="rect">
                    <a:avLst/>
                  </a:prstGeom>
                  <a:noFill/>
                  <a:ln>
                    <a:noFill/>
                  </a:ln>
                </pic:spPr>
              </pic:pic>
            </a:graphicData>
          </a:graphic>
        </wp:inline>
      </w:drawing>
    </w:r>
  </w:p>
  <w:p w:rsidR="00A97C0C" w:rsidRDefault="00A97C0C" w:rsidP="00A97C0C">
    <w:pPr>
      <w:pStyle w:val="Footer"/>
      <w:tabs>
        <w:tab w:val="clear" w:pos="4513"/>
        <w:tab w:val="clear" w:pos="9026"/>
        <w:tab w:val="left" w:pos="4568"/>
      </w:tabs>
    </w:pPr>
    <w:r w:rsidRPr="00616843">
      <w:rPr>
        <w:sz w:val="16"/>
        <w:szCs w:val="16"/>
      </w:rPr>
      <w:t xml:space="preserve">Version 1 </w:t>
    </w:r>
    <w:r>
      <w:rPr>
        <w:sz w:val="16"/>
        <w:szCs w:val="16"/>
      </w:rPr>
      <w:tab/>
    </w:r>
    <w:r w:rsidRPr="00ED7C52">
      <w:rPr>
        <w:sz w:val="16"/>
        <w:szCs w:val="16"/>
      </w:rPr>
      <w:fldChar w:fldCharType="begin"/>
    </w:r>
    <w:r w:rsidRPr="00ED7C52">
      <w:rPr>
        <w:sz w:val="16"/>
        <w:szCs w:val="16"/>
      </w:rPr>
      <w:instrText xml:space="preserve"> PAGE   \* MERGEFORMAT </w:instrText>
    </w:r>
    <w:r w:rsidRPr="00ED7C52">
      <w:rPr>
        <w:sz w:val="16"/>
        <w:szCs w:val="16"/>
      </w:rPr>
      <w:fldChar w:fldCharType="separate"/>
    </w:r>
    <w:r w:rsidR="00F369E6">
      <w:rPr>
        <w:noProof/>
        <w:sz w:val="16"/>
        <w:szCs w:val="16"/>
      </w:rPr>
      <w:t>1</w:t>
    </w:r>
    <w:r w:rsidRPr="00ED7C52">
      <w:rPr>
        <w:noProof/>
        <w:sz w:val="16"/>
        <w:szCs w:val="16"/>
      </w:rPr>
      <w:fldChar w:fldCharType="end"/>
    </w:r>
    <w:r>
      <w:rPr>
        <w:noProof/>
        <w:sz w:val="16"/>
        <w:szCs w:val="16"/>
      </w:rPr>
      <w:tab/>
      <w:t xml:space="preserve">      </w:t>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 OCR 2019</w:t>
    </w:r>
  </w:p>
  <w:p w:rsidR="001F3A99" w:rsidRDefault="001F3A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5E8" w:rsidRDefault="002515E8" w:rsidP="00246764">
      <w:pPr>
        <w:spacing w:line="240" w:lineRule="auto"/>
      </w:pPr>
      <w:r>
        <w:separator/>
      </w:r>
    </w:p>
  </w:footnote>
  <w:footnote w:type="continuationSeparator" w:id="0">
    <w:p w:rsidR="002515E8" w:rsidRDefault="002515E8" w:rsidP="00246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EE" w:rsidRDefault="001F3A99">
    <w:pPr>
      <w:pStyle w:val="Header"/>
    </w:pPr>
    <w:r>
      <w:rPr>
        <w:noProof/>
        <w:lang w:eastAsia="en-GB"/>
      </w:rPr>
      <w:drawing>
        <wp:anchor distT="0" distB="0" distL="114300" distR="114300" simplePos="0" relativeHeight="251663360" behindDoc="1" locked="0" layoutInCell="1" allowOverlap="1">
          <wp:simplePos x="0" y="0"/>
          <wp:positionH relativeFrom="column">
            <wp:posOffset>-508635</wp:posOffset>
          </wp:positionH>
          <wp:positionV relativeFrom="paragraph">
            <wp:posOffset>-418465</wp:posOffset>
          </wp:positionV>
          <wp:extent cx="7515225" cy="1073785"/>
          <wp:effectExtent l="0" t="0" r="9525" b="0"/>
          <wp:wrapTight wrapText="bothSides">
            <wp:wrapPolygon edited="0">
              <wp:start x="0" y="0"/>
              <wp:lineTo x="0" y="21076"/>
              <wp:lineTo x="21573" y="21076"/>
              <wp:lineTo x="21573" y="0"/>
              <wp:lineTo x="0" y="0"/>
            </wp:wrapPolygon>
          </wp:wrapTight>
          <wp:docPr id="5" name="Picture 5" descr="F:\PD\ProdSup\ProjMan\Projects\Quals_Rename\MEI_Maths\The_Resources\New_banners\L3_Core MathsA_Port_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D\ProdSup\ProjMan\Projects\Quals_Rename\MEI_Maths\The_Resources\New_banners\L3_Core MathsA_Port_I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522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EE" w:rsidRDefault="001F3A99">
    <w:pPr>
      <w:pStyle w:val="Header"/>
    </w:pPr>
    <w:r>
      <w:rPr>
        <w:noProof/>
        <w:lang w:eastAsia="en-GB"/>
      </w:rPr>
      <w:drawing>
        <wp:anchor distT="0" distB="0" distL="114300" distR="114300" simplePos="0" relativeHeight="251662336" behindDoc="1" locked="0" layoutInCell="1" allowOverlap="1">
          <wp:simplePos x="0" y="0"/>
          <wp:positionH relativeFrom="column">
            <wp:posOffset>-508635</wp:posOffset>
          </wp:positionH>
          <wp:positionV relativeFrom="paragraph">
            <wp:posOffset>-418465</wp:posOffset>
          </wp:positionV>
          <wp:extent cx="7515225" cy="1073785"/>
          <wp:effectExtent l="0" t="0" r="9525" b="0"/>
          <wp:wrapTight wrapText="bothSides">
            <wp:wrapPolygon edited="0">
              <wp:start x="0" y="0"/>
              <wp:lineTo x="0" y="21076"/>
              <wp:lineTo x="21573" y="21076"/>
              <wp:lineTo x="21573" y="0"/>
              <wp:lineTo x="0" y="0"/>
            </wp:wrapPolygon>
          </wp:wrapTight>
          <wp:docPr id="2" name="Picture 2" descr="F:\PD\ProdSup\ProjMan\Projects\Quals_Rename\MEI_Maths\The_Resources\New_banners\L3_Core MathsA_Port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ProjMan\Projects\Quals_Rename\MEI_Maths\The_Resources\New_banners\L3_Core MathsA_Port_Fro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522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E59"/>
    <w:multiLevelType w:val="hybridMultilevel"/>
    <w:tmpl w:val="48F4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8B378F"/>
    <w:multiLevelType w:val="hybridMultilevel"/>
    <w:tmpl w:val="AC641B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1F6ECC"/>
    <w:multiLevelType w:val="hybridMultilevel"/>
    <w:tmpl w:val="443C3026"/>
    <w:lvl w:ilvl="0" w:tplc="C2B2B85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8C094C"/>
    <w:multiLevelType w:val="hybridMultilevel"/>
    <w:tmpl w:val="C97075D6"/>
    <w:lvl w:ilvl="0" w:tplc="A6964B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9E394E"/>
    <w:multiLevelType w:val="hybridMultilevel"/>
    <w:tmpl w:val="44F614F6"/>
    <w:lvl w:ilvl="0" w:tplc="756C37E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66E2D"/>
    <w:multiLevelType w:val="hybridMultilevel"/>
    <w:tmpl w:val="033A12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8675A"/>
    <w:multiLevelType w:val="hybridMultilevel"/>
    <w:tmpl w:val="34F2798A"/>
    <w:lvl w:ilvl="0" w:tplc="756C37E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FA01E7"/>
    <w:multiLevelType w:val="hybridMultilevel"/>
    <w:tmpl w:val="73781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C42A0"/>
    <w:multiLevelType w:val="hybridMultilevel"/>
    <w:tmpl w:val="7FEAC6B4"/>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36137"/>
    <w:multiLevelType w:val="hybridMultilevel"/>
    <w:tmpl w:val="63426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1A36879"/>
    <w:multiLevelType w:val="hybridMultilevel"/>
    <w:tmpl w:val="E6F852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9169D"/>
    <w:multiLevelType w:val="hybridMultilevel"/>
    <w:tmpl w:val="64A46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8B1161"/>
    <w:multiLevelType w:val="hybridMultilevel"/>
    <w:tmpl w:val="DC4627C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374EE8"/>
    <w:multiLevelType w:val="hybridMultilevel"/>
    <w:tmpl w:val="B4409826"/>
    <w:lvl w:ilvl="0" w:tplc="A6964B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AD3282"/>
    <w:multiLevelType w:val="hybridMultilevel"/>
    <w:tmpl w:val="39A6F1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703123"/>
    <w:multiLevelType w:val="hybridMultilevel"/>
    <w:tmpl w:val="77D2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60526"/>
    <w:multiLevelType w:val="hybridMultilevel"/>
    <w:tmpl w:val="DF184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FF0E51"/>
    <w:multiLevelType w:val="hybridMultilevel"/>
    <w:tmpl w:val="F84C2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0E4443"/>
    <w:multiLevelType w:val="hybridMultilevel"/>
    <w:tmpl w:val="25CC7C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DD4C1E"/>
    <w:multiLevelType w:val="hybridMultilevel"/>
    <w:tmpl w:val="DF94B5F6"/>
    <w:lvl w:ilvl="0" w:tplc="798ECE3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093624"/>
    <w:multiLevelType w:val="hybridMultilevel"/>
    <w:tmpl w:val="8CC25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953AFF"/>
    <w:multiLevelType w:val="hybridMultilevel"/>
    <w:tmpl w:val="17B875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0378B7"/>
    <w:multiLevelType w:val="hybridMultilevel"/>
    <w:tmpl w:val="CE4026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9C206D"/>
    <w:multiLevelType w:val="hybridMultilevel"/>
    <w:tmpl w:val="5E1E1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55F3B"/>
    <w:multiLevelType w:val="hybridMultilevel"/>
    <w:tmpl w:val="3E5259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680880"/>
    <w:multiLevelType w:val="hybridMultilevel"/>
    <w:tmpl w:val="892A7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5D5C76"/>
    <w:multiLevelType w:val="multilevel"/>
    <w:tmpl w:val="D392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81BA6"/>
    <w:multiLevelType w:val="hybridMultilevel"/>
    <w:tmpl w:val="68E6DD60"/>
    <w:lvl w:ilvl="0" w:tplc="756C37E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991525"/>
    <w:multiLevelType w:val="hybridMultilevel"/>
    <w:tmpl w:val="B01A5CC8"/>
    <w:lvl w:ilvl="0" w:tplc="02C69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260C8D"/>
    <w:multiLevelType w:val="hybridMultilevel"/>
    <w:tmpl w:val="EDC651B0"/>
    <w:lvl w:ilvl="0" w:tplc="C7C2D0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2"/>
  </w:num>
  <w:num w:numId="13">
    <w:abstractNumId w:val="20"/>
  </w:num>
  <w:num w:numId="14">
    <w:abstractNumId w:val="29"/>
  </w:num>
  <w:num w:numId="15">
    <w:abstractNumId w:val="38"/>
  </w:num>
  <w:num w:numId="16">
    <w:abstractNumId w:val="15"/>
  </w:num>
  <w:num w:numId="17">
    <w:abstractNumId w:val="28"/>
  </w:num>
  <w:num w:numId="18">
    <w:abstractNumId w:val="26"/>
  </w:num>
  <w:num w:numId="19">
    <w:abstractNumId w:val="17"/>
  </w:num>
  <w:num w:numId="20">
    <w:abstractNumId w:val="33"/>
  </w:num>
  <w:num w:numId="21">
    <w:abstractNumId w:val="27"/>
  </w:num>
  <w:num w:numId="22">
    <w:abstractNumId w:val="22"/>
  </w:num>
  <w:num w:numId="23">
    <w:abstractNumId w:val="13"/>
  </w:num>
  <w:num w:numId="24">
    <w:abstractNumId w:val="23"/>
  </w:num>
  <w:num w:numId="25">
    <w:abstractNumId w:val="37"/>
  </w:num>
  <w:num w:numId="26">
    <w:abstractNumId w:val="14"/>
  </w:num>
  <w:num w:numId="27">
    <w:abstractNumId w:val="11"/>
  </w:num>
  <w:num w:numId="28">
    <w:abstractNumId w:val="24"/>
  </w:num>
  <w:num w:numId="29">
    <w:abstractNumId w:val="36"/>
  </w:num>
  <w:num w:numId="30">
    <w:abstractNumId w:val="18"/>
  </w:num>
  <w:num w:numId="31">
    <w:abstractNumId w:val="39"/>
  </w:num>
  <w:num w:numId="32">
    <w:abstractNumId w:val="25"/>
  </w:num>
  <w:num w:numId="33">
    <w:abstractNumId w:val="10"/>
  </w:num>
  <w:num w:numId="34">
    <w:abstractNumId w:val="16"/>
  </w:num>
  <w:num w:numId="35">
    <w:abstractNumId w:val="34"/>
  </w:num>
  <w:num w:numId="36">
    <w:abstractNumId w:val="30"/>
  </w:num>
  <w:num w:numId="37">
    <w:abstractNumId w:val="35"/>
  </w:num>
  <w:num w:numId="38">
    <w:abstractNumId w:val="31"/>
  </w:num>
  <w:num w:numId="39">
    <w:abstractNumId w:val="1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64"/>
    <w:rsid w:val="00020C1F"/>
    <w:rsid w:val="000527CA"/>
    <w:rsid w:val="0006040F"/>
    <w:rsid w:val="000767B9"/>
    <w:rsid w:val="00083536"/>
    <w:rsid w:val="000904F3"/>
    <w:rsid w:val="000B3319"/>
    <w:rsid w:val="000C01AC"/>
    <w:rsid w:val="000D1664"/>
    <w:rsid w:val="000D5BF9"/>
    <w:rsid w:val="000E1182"/>
    <w:rsid w:val="00101B39"/>
    <w:rsid w:val="00102BF8"/>
    <w:rsid w:val="00112E4F"/>
    <w:rsid w:val="001667C8"/>
    <w:rsid w:val="00196631"/>
    <w:rsid w:val="001B4445"/>
    <w:rsid w:val="001B69C5"/>
    <w:rsid w:val="001F3A99"/>
    <w:rsid w:val="002106B8"/>
    <w:rsid w:val="00225DF5"/>
    <w:rsid w:val="0022722A"/>
    <w:rsid w:val="00231BDB"/>
    <w:rsid w:val="00246764"/>
    <w:rsid w:val="002515E8"/>
    <w:rsid w:val="002940AC"/>
    <w:rsid w:val="00294FB0"/>
    <w:rsid w:val="002D693B"/>
    <w:rsid w:val="002D77D4"/>
    <w:rsid w:val="002E442F"/>
    <w:rsid w:val="002E7A7D"/>
    <w:rsid w:val="002E7B5E"/>
    <w:rsid w:val="002F1027"/>
    <w:rsid w:val="00314DB4"/>
    <w:rsid w:val="00322F42"/>
    <w:rsid w:val="0035220A"/>
    <w:rsid w:val="0037218B"/>
    <w:rsid w:val="003D70C5"/>
    <w:rsid w:val="00424CC9"/>
    <w:rsid w:val="00430E94"/>
    <w:rsid w:val="0044317D"/>
    <w:rsid w:val="00446F37"/>
    <w:rsid w:val="00454CAA"/>
    <w:rsid w:val="00464F92"/>
    <w:rsid w:val="00466501"/>
    <w:rsid w:val="004735FC"/>
    <w:rsid w:val="00481038"/>
    <w:rsid w:val="00485720"/>
    <w:rsid w:val="00487DF9"/>
    <w:rsid w:val="004A76A4"/>
    <w:rsid w:val="004B0136"/>
    <w:rsid w:val="004B4B79"/>
    <w:rsid w:val="004D0E3B"/>
    <w:rsid w:val="004D17B9"/>
    <w:rsid w:val="00501C57"/>
    <w:rsid w:val="00510F6E"/>
    <w:rsid w:val="00516716"/>
    <w:rsid w:val="00521E7E"/>
    <w:rsid w:val="00555C14"/>
    <w:rsid w:val="005649D5"/>
    <w:rsid w:val="00577E62"/>
    <w:rsid w:val="00583A2D"/>
    <w:rsid w:val="005A20FD"/>
    <w:rsid w:val="005A3D54"/>
    <w:rsid w:val="005C617D"/>
    <w:rsid w:val="005D7CA2"/>
    <w:rsid w:val="00621CD7"/>
    <w:rsid w:val="006238C7"/>
    <w:rsid w:val="00623EA6"/>
    <w:rsid w:val="006245F5"/>
    <w:rsid w:val="00640DAE"/>
    <w:rsid w:val="00641327"/>
    <w:rsid w:val="00644825"/>
    <w:rsid w:val="0068278D"/>
    <w:rsid w:val="006A02D1"/>
    <w:rsid w:val="006F77AC"/>
    <w:rsid w:val="0072464A"/>
    <w:rsid w:val="00743BB1"/>
    <w:rsid w:val="00750659"/>
    <w:rsid w:val="0077499A"/>
    <w:rsid w:val="00791D97"/>
    <w:rsid w:val="007940A2"/>
    <w:rsid w:val="007A1BE8"/>
    <w:rsid w:val="007C2A0D"/>
    <w:rsid w:val="007C3CC8"/>
    <w:rsid w:val="007D3F0A"/>
    <w:rsid w:val="007D6744"/>
    <w:rsid w:val="007F7B5B"/>
    <w:rsid w:val="0080368E"/>
    <w:rsid w:val="008173A4"/>
    <w:rsid w:val="00870235"/>
    <w:rsid w:val="00870837"/>
    <w:rsid w:val="00891328"/>
    <w:rsid w:val="008C3663"/>
    <w:rsid w:val="00937247"/>
    <w:rsid w:val="00965F36"/>
    <w:rsid w:val="009820D7"/>
    <w:rsid w:val="009A66D0"/>
    <w:rsid w:val="00A11F43"/>
    <w:rsid w:val="00A174E7"/>
    <w:rsid w:val="00A177B5"/>
    <w:rsid w:val="00A17CB0"/>
    <w:rsid w:val="00A340C4"/>
    <w:rsid w:val="00A341AC"/>
    <w:rsid w:val="00A6310B"/>
    <w:rsid w:val="00A81CC7"/>
    <w:rsid w:val="00A84DA7"/>
    <w:rsid w:val="00A90D1A"/>
    <w:rsid w:val="00A92E4A"/>
    <w:rsid w:val="00A97C0C"/>
    <w:rsid w:val="00AC1465"/>
    <w:rsid w:val="00AC16BC"/>
    <w:rsid w:val="00AD36E7"/>
    <w:rsid w:val="00AE53FC"/>
    <w:rsid w:val="00B443B9"/>
    <w:rsid w:val="00B531FE"/>
    <w:rsid w:val="00B76F78"/>
    <w:rsid w:val="00BB0A21"/>
    <w:rsid w:val="00BB70FD"/>
    <w:rsid w:val="00BC580E"/>
    <w:rsid w:val="00BD6C0F"/>
    <w:rsid w:val="00BE0359"/>
    <w:rsid w:val="00BE359E"/>
    <w:rsid w:val="00BE7080"/>
    <w:rsid w:val="00BF35E7"/>
    <w:rsid w:val="00C154C8"/>
    <w:rsid w:val="00C223AD"/>
    <w:rsid w:val="00C31191"/>
    <w:rsid w:val="00C552EB"/>
    <w:rsid w:val="00C613EE"/>
    <w:rsid w:val="00C67DE6"/>
    <w:rsid w:val="00C8681F"/>
    <w:rsid w:val="00CA3D64"/>
    <w:rsid w:val="00CE112F"/>
    <w:rsid w:val="00D173F7"/>
    <w:rsid w:val="00D205A0"/>
    <w:rsid w:val="00D64A66"/>
    <w:rsid w:val="00D67CAE"/>
    <w:rsid w:val="00D92E32"/>
    <w:rsid w:val="00DC0B57"/>
    <w:rsid w:val="00DC7FAC"/>
    <w:rsid w:val="00DD0900"/>
    <w:rsid w:val="00DD16DE"/>
    <w:rsid w:val="00DE0AE5"/>
    <w:rsid w:val="00DE7A27"/>
    <w:rsid w:val="00DF39C0"/>
    <w:rsid w:val="00E206D3"/>
    <w:rsid w:val="00E40BE8"/>
    <w:rsid w:val="00E43A5A"/>
    <w:rsid w:val="00E4691F"/>
    <w:rsid w:val="00E61FD5"/>
    <w:rsid w:val="00E66C76"/>
    <w:rsid w:val="00E6700C"/>
    <w:rsid w:val="00E74E9D"/>
    <w:rsid w:val="00E81E97"/>
    <w:rsid w:val="00E828F9"/>
    <w:rsid w:val="00EC3BC1"/>
    <w:rsid w:val="00EC429D"/>
    <w:rsid w:val="00EF3EC2"/>
    <w:rsid w:val="00F13512"/>
    <w:rsid w:val="00F13E18"/>
    <w:rsid w:val="00F1422A"/>
    <w:rsid w:val="00F202F8"/>
    <w:rsid w:val="00F369E6"/>
    <w:rsid w:val="00F37A1D"/>
    <w:rsid w:val="00F46E7A"/>
    <w:rsid w:val="00F47A51"/>
    <w:rsid w:val="00F532F3"/>
    <w:rsid w:val="00F8596F"/>
    <w:rsid w:val="00FD23FC"/>
    <w:rsid w:val="00FD7F50"/>
    <w:rsid w:val="00FE18E1"/>
    <w:rsid w:val="00FE224B"/>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A290366-7F9A-4FEF-A96C-1FFD8FC8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D205A0"/>
    <w:pPr>
      <w:keepNext/>
      <w:keepLines/>
      <w:outlineLvl w:val="0"/>
    </w:pPr>
    <w:rPr>
      <w:rFonts w:eastAsia="Times New Roman" w:cs="Times New Roman"/>
      <w:bCs/>
      <w:color w:val="B11116"/>
      <w:szCs w:val="28"/>
    </w:rPr>
  </w:style>
  <w:style w:type="paragraph" w:styleId="Heading2">
    <w:name w:val="heading 2"/>
    <w:basedOn w:val="Normal"/>
    <w:next w:val="Normal"/>
    <w:link w:val="Heading2Char"/>
    <w:uiPriority w:val="9"/>
    <w:unhideWhenUsed/>
    <w:qFormat/>
    <w:rsid w:val="00BE0359"/>
    <w:pPr>
      <w:keepNext/>
      <w:keepLines/>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D205A0"/>
    <w:pPr>
      <w:keepNext/>
      <w:keepLines/>
      <w:outlineLvl w:val="2"/>
    </w:pPr>
    <w:rPr>
      <w:rFonts w:eastAsia="Times New Roman"/>
      <w:b/>
      <w:bCs/>
      <w:color w:val="B11116"/>
      <w:sz w:val="28"/>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D205A0"/>
    <w:rPr>
      <w:rFonts w:ascii="Arial" w:eastAsia="Times New Roman" w:hAnsi="Arial"/>
      <w:b/>
      <w:bCs/>
      <w:color w:val="B11116"/>
      <w:sz w:val="40"/>
      <w:szCs w:val="28"/>
      <w:lang w:eastAsia="en-US"/>
    </w:rPr>
  </w:style>
  <w:style w:type="character" w:customStyle="1" w:styleId="Heading2Char">
    <w:name w:val="Heading 2 Char"/>
    <w:link w:val="Heading2"/>
    <w:uiPriority w:val="9"/>
    <w:rsid w:val="00BE0359"/>
    <w:rPr>
      <w:rFonts w:ascii="Arial" w:eastAsia="Times New Roman" w:hAnsi="Arial" w:cs="Times New Roman"/>
      <w:b/>
      <w:bCs/>
      <w:i/>
      <w:sz w:val="40"/>
      <w:szCs w:val="26"/>
    </w:rPr>
  </w:style>
  <w:style w:type="character" w:customStyle="1" w:styleId="Heading3Char">
    <w:name w:val="Heading 3 Char"/>
    <w:link w:val="Heading3"/>
    <w:uiPriority w:val="9"/>
    <w:rsid w:val="00D205A0"/>
    <w:rPr>
      <w:rFonts w:ascii="Arial" w:eastAsia="Times New Roman" w:hAnsi="Arial"/>
      <w:b/>
      <w:bCs/>
      <w:color w:val="B11116"/>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unhideWhenUsed/>
    <w:rsid w:val="000D5BF9"/>
    <w:pPr>
      <w:spacing w:after="100" w:line="480" w:lineRule="auto"/>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Subheading1">
    <w:name w:val="Subheading 1"/>
    <w:basedOn w:val="Normal"/>
    <w:next w:val="Normal"/>
    <w:link w:val="Subheading1Char"/>
    <w:qFormat/>
    <w:rsid w:val="00D205A0"/>
    <w:rPr>
      <w:b/>
      <w:color w:val="B11116"/>
      <w:sz w:val="24"/>
      <w:lang w:val="en-US" w:eastAsia="en-GB"/>
    </w:rPr>
  </w:style>
  <w:style w:type="paragraph" w:customStyle="1" w:styleId="Subheading2">
    <w:name w:val="Subheading 2"/>
    <w:basedOn w:val="Normal"/>
    <w:link w:val="Subheading2Char"/>
    <w:qFormat/>
    <w:rsid w:val="002D77D4"/>
    <w:rPr>
      <w:b/>
      <w:lang w:val="en-US" w:eastAsia="en-GB"/>
    </w:rPr>
  </w:style>
  <w:style w:type="character" w:customStyle="1" w:styleId="Subheading1Char">
    <w:name w:val="Subheading 1 Char"/>
    <w:link w:val="Subheading1"/>
    <w:rsid w:val="00D205A0"/>
    <w:rPr>
      <w:rFonts w:ascii="Arial" w:hAnsi="Arial"/>
      <w:b/>
      <w:color w:val="B11116"/>
      <w:sz w:val="24"/>
      <w:szCs w:val="22"/>
      <w:lang w:val="en-US"/>
    </w:rPr>
  </w:style>
  <w:style w:type="character" w:styleId="Hyperlink">
    <w:name w:val="Hyperlink"/>
    <w:uiPriority w:val="99"/>
    <w:unhideWhenUsed/>
    <w:rsid w:val="0077499A"/>
    <w:rPr>
      <w:color w:val="0000FF"/>
      <w:u w:val="single"/>
    </w:rPr>
  </w:style>
  <w:style w:type="character" w:customStyle="1" w:styleId="Subheading2Char">
    <w:name w:val="Subheading 2 Char"/>
    <w:link w:val="Subheading2"/>
    <w:rsid w:val="002D77D4"/>
    <w:rPr>
      <w:rFonts w:ascii="Arial" w:hAnsi="Arial"/>
      <w:b/>
      <w:sz w:val="22"/>
      <w:szCs w:val="22"/>
      <w:lang w:val="en-US"/>
    </w:rPr>
  </w:style>
  <w:style w:type="paragraph" w:customStyle="1" w:styleId="HeaderText">
    <w:name w:val="Header Text"/>
    <w:basedOn w:val="Header"/>
    <w:link w:val="HeaderTextChar"/>
    <w:qFormat/>
    <w:rsid w:val="00D205A0"/>
    <w:pPr>
      <w:tabs>
        <w:tab w:val="clear" w:pos="4513"/>
        <w:tab w:val="clear" w:pos="9026"/>
        <w:tab w:val="left" w:pos="6807"/>
      </w:tabs>
    </w:pPr>
    <w:rPr>
      <w:noProof/>
      <w:color w:val="B11116"/>
      <w:sz w:val="18"/>
      <w:lang w:eastAsia="en-GB"/>
    </w:rPr>
  </w:style>
  <w:style w:type="character" w:customStyle="1" w:styleId="HeaderTextChar">
    <w:name w:val="Header Text Char"/>
    <w:link w:val="HeaderText"/>
    <w:rsid w:val="00D205A0"/>
    <w:rPr>
      <w:rFonts w:ascii="Arial" w:hAnsi="Arial"/>
      <w:noProof/>
      <w:color w:val="B11116"/>
      <w:sz w:val="18"/>
      <w:szCs w:val="22"/>
    </w:rPr>
  </w:style>
  <w:style w:type="paragraph" w:customStyle="1" w:styleId="DocTitle">
    <w:name w:val="Doc Title"/>
    <w:basedOn w:val="Heading1"/>
    <w:link w:val="DocTitleChar"/>
    <w:qFormat/>
    <w:rsid w:val="00D205A0"/>
    <w:rPr>
      <w:sz w:val="52"/>
      <w:lang w:val="en-US" w:eastAsia="en-GB"/>
    </w:rPr>
  </w:style>
  <w:style w:type="character" w:customStyle="1" w:styleId="DocTitleChar">
    <w:name w:val="Doc Title Char"/>
    <w:link w:val="DocTitle"/>
    <w:rsid w:val="00D205A0"/>
    <w:rPr>
      <w:rFonts w:ascii="Arial" w:eastAsia="Times New Roman" w:hAnsi="Arial"/>
      <w:b/>
      <w:bCs/>
      <w:color w:val="B11116"/>
      <w:sz w:val="52"/>
      <w:szCs w:val="28"/>
      <w:lang w:val="en-US"/>
    </w:rPr>
  </w:style>
  <w:style w:type="character" w:styleId="CommentReference">
    <w:name w:val="annotation reference"/>
    <w:uiPriority w:val="99"/>
    <w:semiHidden/>
    <w:unhideWhenUsed/>
    <w:rsid w:val="000C01AC"/>
    <w:rPr>
      <w:sz w:val="16"/>
      <w:szCs w:val="16"/>
    </w:rPr>
  </w:style>
  <w:style w:type="character" w:styleId="Strong">
    <w:name w:val="Strong"/>
    <w:basedOn w:val="DefaultParagraphFont"/>
    <w:uiPriority w:val="22"/>
    <w:qFormat/>
    <w:rsid w:val="00E82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C020-DC79-42BD-959C-7923F3ED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Level 3 Quantitative Problem Solving (MEI) Level 3 Quantitative Reasoning (MEI) Topic Exploration Pack (Exponential Growth and Decay)</vt:lpstr>
    </vt:vector>
  </TitlesOfParts>
  <Company>Cambridge Assessment</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Quantitative Problem Solving (MEI) Level 3 Quantitative Reasoning (MEI) Topic Exploration Pack (Exponential Growth and Decay)</dc:title>
  <dc:creator>OCR</dc:creator>
  <cp:keywords>Level 3, Quantitative Problem Solving, Quantitative Reasoning, MEI, TEP, Topic Exploration Pack, Maths, Exponential Growth, Decay</cp:keywords>
  <cp:lastModifiedBy>Ceri Mullen</cp:lastModifiedBy>
  <cp:revision>13</cp:revision>
  <cp:lastPrinted>2014-04-23T10:49:00Z</cp:lastPrinted>
  <dcterms:created xsi:type="dcterms:W3CDTF">2019-04-30T09:23:00Z</dcterms:created>
  <dcterms:modified xsi:type="dcterms:W3CDTF">2019-05-17T11:13:00Z</dcterms:modified>
</cp:coreProperties>
</file>